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B829D" w14:textId="2BAEB2B2" w:rsidR="0014064F" w:rsidRPr="00B72D34" w:rsidRDefault="0014064F" w:rsidP="0014064F">
      <w:pPr>
        <w:jc w:val="right"/>
        <w:rPr>
          <w:rFonts w:ascii="Century Gothic" w:hAnsi="Century Gothic"/>
          <w:sz w:val="20"/>
          <w:szCs w:val="20"/>
        </w:rPr>
      </w:pPr>
      <w:r>
        <w:rPr>
          <w:rFonts w:ascii="Century Gothic" w:hAnsi="Century Gothic"/>
          <w:sz w:val="20"/>
        </w:rPr>
        <w:t xml:space="preserve">Appendix 3 to the Contract </w:t>
      </w:r>
    </w:p>
    <w:p w14:paraId="727EC3C8" w14:textId="65E5BED1" w:rsidR="0014064F" w:rsidRPr="005F15F1" w:rsidRDefault="0014064F" w:rsidP="0014064F">
      <w:pPr>
        <w:jc w:val="center"/>
        <w:rPr>
          <w:rFonts w:ascii="Century Gothic" w:hAnsi="Century Gothic"/>
          <w:b/>
          <w:bCs/>
          <w:sz w:val="20"/>
          <w:szCs w:val="20"/>
        </w:rPr>
      </w:pPr>
      <w:r>
        <w:rPr>
          <w:rFonts w:ascii="Century Gothic" w:hAnsi="Century Gothic"/>
          <w:b/>
          <w:sz w:val="20"/>
        </w:rPr>
        <w:t xml:space="preserve">Grounds for </w:t>
      </w:r>
      <w:r w:rsidR="00896F43">
        <w:rPr>
          <w:rFonts w:ascii="Century Gothic" w:hAnsi="Century Gothic"/>
          <w:b/>
          <w:sz w:val="20"/>
        </w:rPr>
        <w:t>E</w:t>
      </w:r>
      <w:r>
        <w:rPr>
          <w:rFonts w:ascii="Century Gothic" w:hAnsi="Century Gothic"/>
          <w:b/>
          <w:sz w:val="20"/>
        </w:rPr>
        <w:t xml:space="preserve">xclusion of </w:t>
      </w:r>
      <w:r w:rsidR="00896F43">
        <w:rPr>
          <w:rFonts w:ascii="Century Gothic" w:hAnsi="Century Gothic"/>
          <w:b/>
          <w:sz w:val="20"/>
        </w:rPr>
        <w:t>S</w:t>
      </w:r>
      <w:r>
        <w:rPr>
          <w:rFonts w:ascii="Century Gothic" w:hAnsi="Century Gothic"/>
          <w:b/>
          <w:sz w:val="20"/>
        </w:rPr>
        <w:t>ubcontractors</w:t>
      </w:r>
    </w:p>
    <w:p w14:paraId="0429CE84" w14:textId="77777777" w:rsidR="0014064F" w:rsidRDefault="0014064F" w:rsidP="0014064F">
      <w:pPr>
        <w:jc w:val="both"/>
        <w:rPr>
          <w:rFonts w:ascii="Century Gothic" w:hAnsi="Century Gothic"/>
          <w:color w:val="A5A5A5" w:themeColor="accent3"/>
          <w:sz w:val="20"/>
          <w:szCs w:val="20"/>
        </w:rPr>
      </w:pPr>
    </w:p>
    <w:p w14:paraId="52E43EFF" w14:textId="374850E2" w:rsidR="0014064F" w:rsidRPr="005F15F1" w:rsidRDefault="0014064F" w:rsidP="0014064F">
      <w:pPr>
        <w:spacing w:after="0" w:line="360" w:lineRule="auto"/>
        <w:jc w:val="both"/>
        <w:rPr>
          <w:rFonts w:ascii="Century Gothic" w:hAnsi="Century Gothic"/>
          <w:sz w:val="20"/>
          <w:szCs w:val="20"/>
        </w:rPr>
      </w:pPr>
      <w:r>
        <w:rPr>
          <w:rFonts w:ascii="Century Gothic" w:hAnsi="Century Gothic"/>
          <w:sz w:val="20"/>
        </w:rPr>
        <w:t>The “</w:t>
      </w:r>
      <w:r w:rsidR="00480A34" w:rsidRPr="00480A34">
        <w:rPr>
          <w:rFonts w:ascii="Century Gothic" w:hAnsi="Century Gothic"/>
          <w:sz w:val="20"/>
        </w:rPr>
        <w:t>Subcontractor</w:t>
      </w:r>
      <w:r>
        <w:rPr>
          <w:rFonts w:ascii="Century Gothic" w:hAnsi="Century Gothic"/>
          <w:sz w:val="20"/>
        </w:rPr>
        <w:t>” shall be construed as “Subcontractor”.</w:t>
      </w:r>
    </w:p>
    <w:p w14:paraId="19519A73" w14:textId="77777777" w:rsidR="0014064F" w:rsidRPr="005F15F1" w:rsidRDefault="0014064F" w:rsidP="0014064F">
      <w:pPr>
        <w:spacing w:after="0" w:line="360" w:lineRule="auto"/>
        <w:jc w:val="both"/>
        <w:rPr>
          <w:rFonts w:ascii="Century Gothic" w:hAnsi="Century Gothic"/>
          <w:sz w:val="20"/>
          <w:szCs w:val="20"/>
        </w:rPr>
      </w:pPr>
    </w:p>
    <w:p w14:paraId="6A9EF123" w14:textId="77777777" w:rsidR="0014064F" w:rsidRPr="00B72D34" w:rsidRDefault="0014064F" w:rsidP="0014064F">
      <w:pPr>
        <w:pStyle w:val="Akapitzlist"/>
        <w:numPr>
          <w:ilvl w:val="0"/>
          <w:numId w:val="5"/>
        </w:numPr>
        <w:spacing w:after="0" w:line="360" w:lineRule="auto"/>
        <w:contextualSpacing w:val="0"/>
        <w:jc w:val="both"/>
        <w:rPr>
          <w:rFonts w:ascii="Century Gothic" w:hAnsi="Century Gothic"/>
          <w:sz w:val="20"/>
          <w:szCs w:val="20"/>
        </w:rPr>
      </w:pPr>
      <w:r>
        <w:rPr>
          <w:rFonts w:ascii="Century Gothic" w:hAnsi="Century Gothic"/>
          <w:sz w:val="20"/>
        </w:rPr>
        <w:t>The Contracting Entity shall exclude from the Non-Public Contract Award Procedure:</w:t>
      </w:r>
    </w:p>
    <w:p w14:paraId="6E95B0DE" w14:textId="34E7E715" w:rsidR="0014064F" w:rsidRPr="00B72D34" w:rsidRDefault="00480A34" w:rsidP="0014064F">
      <w:pPr>
        <w:pStyle w:val="Akapitzlist"/>
        <w:numPr>
          <w:ilvl w:val="1"/>
          <w:numId w:val="5"/>
        </w:numPr>
        <w:spacing w:after="0" w:line="360" w:lineRule="auto"/>
        <w:ind w:left="993" w:hanging="567"/>
        <w:contextualSpacing w:val="0"/>
        <w:jc w:val="both"/>
        <w:rPr>
          <w:rFonts w:ascii="Century Gothic" w:hAnsi="Century Gothic"/>
          <w:sz w:val="20"/>
          <w:szCs w:val="20"/>
        </w:rPr>
      </w:pPr>
      <w:r w:rsidRPr="00480A34">
        <w:rPr>
          <w:rFonts w:ascii="Century Gothic" w:hAnsi="Century Gothic"/>
          <w:sz w:val="20"/>
        </w:rPr>
        <w:t>Subcontractor</w:t>
      </w:r>
      <w:r w:rsidR="0014064F">
        <w:rPr>
          <w:rFonts w:ascii="Century Gothic" w:hAnsi="Century Gothic"/>
          <w:sz w:val="20"/>
        </w:rPr>
        <w:t xml:space="preserve"> subject to winding-up proceedings, bankruptcy, whose assets are being administered by a receiver or by a court, who has entered into an arrangement with creditors, whose business activities have been suspended or who is in any of such situations arising from a similar procedure provided for in the regulations of the place where such procedure has been initiated</w:t>
      </w:r>
      <w:r w:rsidR="003567D9">
        <w:rPr>
          <w:rFonts w:ascii="Century Gothic" w:hAnsi="Century Gothic"/>
          <w:sz w:val="20"/>
        </w:rPr>
        <w:t>.</w:t>
      </w:r>
      <w:r w:rsidR="0014064F">
        <w:rPr>
          <w:rFonts w:ascii="Century Gothic" w:hAnsi="Century Gothic"/>
          <w:sz w:val="20"/>
        </w:rPr>
        <w:t xml:space="preserve"> </w:t>
      </w:r>
    </w:p>
    <w:p w14:paraId="7FAF16BA" w14:textId="5DC20250" w:rsidR="0014064F" w:rsidRPr="00B72D34" w:rsidRDefault="00480A34" w:rsidP="0014064F">
      <w:pPr>
        <w:pStyle w:val="Akapitzlist"/>
        <w:numPr>
          <w:ilvl w:val="1"/>
          <w:numId w:val="5"/>
        </w:numPr>
        <w:spacing w:after="0" w:line="360" w:lineRule="auto"/>
        <w:ind w:left="993" w:hanging="567"/>
        <w:contextualSpacing w:val="0"/>
        <w:jc w:val="both"/>
        <w:rPr>
          <w:rFonts w:ascii="Century Gothic" w:hAnsi="Century Gothic"/>
          <w:sz w:val="20"/>
          <w:szCs w:val="20"/>
        </w:rPr>
      </w:pPr>
      <w:r w:rsidRPr="00480A34">
        <w:rPr>
          <w:rFonts w:ascii="Century Gothic" w:hAnsi="Century Gothic"/>
          <w:sz w:val="20"/>
        </w:rPr>
        <w:t>Subcontractor</w:t>
      </w:r>
      <w:r>
        <w:rPr>
          <w:rFonts w:ascii="Century Gothic" w:hAnsi="Century Gothic"/>
          <w:sz w:val="20"/>
        </w:rPr>
        <w:t xml:space="preserve"> </w:t>
      </w:r>
      <w:r w:rsidR="0014064F">
        <w:rPr>
          <w:rFonts w:ascii="Century Gothic" w:hAnsi="Century Gothic"/>
          <w:sz w:val="20"/>
        </w:rPr>
        <w:t xml:space="preserve">who has been in breach of obligations relating to the payment of taxes, fees or social or health insurance contributions, unless the </w:t>
      </w:r>
      <w:r w:rsidRPr="00480A34">
        <w:rPr>
          <w:rFonts w:ascii="Century Gothic" w:hAnsi="Century Gothic"/>
          <w:sz w:val="20"/>
        </w:rPr>
        <w:t>Subcontractor</w:t>
      </w:r>
      <w:r w:rsidR="0014064F">
        <w:rPr>
          <w:rFonts w:ascii="Century Gothic" w:hAnsi="Century Gothic"/>
          <w:sz w:val="20"/>
        </w:rPr>
        <w:t>, before the expiry of the deadline for submitting requests for participation or before the expiry of the deadline for submitting tenders, has paid the taxes, fees or social or health insurance contributions due, including any interest or fines, or has entered into a binding agreement on the payment of those receivables</w:t>
      </w:r>
      <w:r w:rsidR="003567D9">
        <w:rPr>
          <w:rFonts w:ascii="Century Gothic" w:hAnsi="Century Gothic"/>
          <w:sz w:val="20"/>
        </w:rPr>
        <w:t>.</w:t>
      </w:r>
    </w:p>
    <w:p w14:paraId="7B07D4EE" w14:textId="2D80F33B" w:rsidR="0014064F" w:rsidRPr="00B72D34" w:rsidRDefault="00480A34" w:rsidP="0014064F">
      <w:pPr>
        <w:pStyle w:val="Akapitzlist"/>
        <w:numPr>
          <w:ilvl w:val="1"/>
          <w:numId w:val="5"/>
        </w:numPr>
        <w:spacing w:after="0" w:line="360" w:lineRule="auto"/>
        <w:ind w:left="993" w:hanging="567"/>
        <w:contextualSpacing w:val="0"/>
        <w:jc w:val="both"/>
        <w:rPr>
          <w:rFonts w:ascii="Century Gothic" w:hAnsi="Century Gothic"/>
          <w:sz w:val="20"/>
          <w:szCs w:val="20"/>
        </w:rPr>
      </w:pPr>
      <w:r w:rsidRPr="00480A34">
        <w:rPr>
          <w:rFonts w:ascii="Century Gothic" w:hAnsi="Century Gothic"/>
          <w:sz w:val="20"/>
        </w:rPr>
        <w:t>Subcontractor</w:t>
      </w:r>
      <w:r w:rsidR="0014064F">
        <w:rPr>
          <w:rFonts w:ascii="Century Gothic" w:hAnsi="Century Gothic"/>
          <w:sz w:val="20"/>
        </w:rPr>
        <w:t xml:space="preserve"> who is a natural person who has been finally and non-revisably convicted of any of the following offences:</w:t>
      </w:r>
    </w:p>
    <w:p w14:paraId="768095EF" w14:textId="77777777" w:rsidR="0014064F" w:rsidRPr="00B72D34" w:rsidRDefault="0014064F" w:rsidP="0014064F">
      <w:pPr>
        <w:pStyle w:val="Akapitzlist"/>
        <w:numPr>
          <w:ilvl w:val="2"/>
          <w:numId w:val="6"/>
        </w:numPr>
        <w:autoSpaceDE w:val="0"/>
        <w:autoSpaceDN w:val="0"/>
        <w:adjustRightInd w:val="0"/>
        <w:spacing w:after="0" w:line="360" w:lineRule="auto"/>
        <w:ind w:left="1701" w:hanging="567"/>
        <w:contextualSpacing w:val="0"/>
        <w:jc w:val="both"/>
        <w:rPr>
          <w:rFonts w:ascii="Century Gothic" w:hAnsi="Century Gothic"/>
          <w:sz w:val="20"/>
          <w:szCs w:val="20"/>
        </w:rPr>
      </w:pPr>
      <w:r>
        <w:rPr>
          <w:rFonts w:ascii="Century Gothic" w:hAnsi="Century Gothic"/>
          <w:sz w:val="20"/>
        </w:rPr>
        <w:t xml:space="preserve">participation in an organised crime group or association aimed at committing a crime or fiscal offence referred to in Article 258 of the Penal Code, </w:t>
      </w:r>
    </w:p>
    <w:p w14:paraId="3E04EC2F" w14:textId="77777777" w:rsidR="0014064F" w:rsidRPr="00B72D34" w:rsidRDefault="0014064F" w:rsidP="0014064F">
      <w:pPr>
        <w:pStyle w:val="Akapitzlist"/>
        <w:numPr>
          <w:ilvl w:val="2"/>
          <w:numId w:val="6"/>
        </w:numPr>
        <w:autoSpaceDE w:val="0"/>
        <w:autoSpaceDN w:val="0"/>
        <w:adjustRightInd w:val="0"/>
        <w:spacing w:after="0" w:line="360" w:lineRule="auto"/>
        <w:ind w:left="1701" w:hanging="567"/>
        <w:contextualSpacing w:val="0"/>
        <w:jc w:val="both"/>
        <w:rPr>
          <w:rFonts w:ascii="Century Gothic" w:hAnsi="Century Gothic"/>
          <w:sz w:val="20"/>
          <w:szCs w:val="20"/>
        </w:rPr>
      </w:pPr>
      <w:r>
        <w:rPr>
          <w:rFonts w:ascii="Century Gothic" w:hAnsi="Century Gothic"/>
          <w:sz w:val="20"/>
        </w:rPr>
        <w:t xml:space="preserve"> trafficking in human beings as referred to in Article 189a of the Penal Code, </w:t>
      </w:r>
    </w:p>
    <w:p w14:paraId="5DE59260" w14:textId="65D2598D" w:rsidR="0014064F" w:rsidRPr="00B72D34" w:rsidRDefault="0014064F" w:rsidP="0014064F">
      <w:pPr>
        <w:pStyle w:val="Akapitzlist"/>
        <w:numPr>
          <w:ilvl w:val="2"/>
          <w:numId w:val="6"/>
        </w:numPr>
        <w:autoSpaceDE w:val="0"/>
        <w:autoSpaceDN w:val="0"/>
        <w:adjustRightInd w:val="0"/>
        <w:spacing w:after="0" w:line="360" w:lineRule="auto"/>
        <w:ind w:left="1701" w:hanging="567"/>
        <w:contextualSpacing w:val="0"/>
        <w:jc w:val="both"/>
        <w:rPr>
          <w:rFonts w:ascii="Century Gothic" w:hAnsi="Century Gothic"/>
          <w:sz w:val="20"/>
          <w:szCs w:val="20"/>
        </w:rPr>
      </w:pPr>
      <w:r>
        <w:rPr>
          <w:rFonts w:ascii="Century Gothic" w:hAnsi="Century Gothic"/>
          <w:sz w:val="20"/>
        </w:rPr>
        <w:t xml:space="preserve"> referred to in Articles 228-230a, Article 250a of the Penal Code or in Article 46 or Article 48 of the Act of 25 June 2010 on </w:t>
      </w:r>
      <w:r w:rsidR="003567D9">
        <w:rPr>
          <w:rFonts w:ascii="Century Gothic" w:hAnsi="Century Gothic"/>
          <w:sz w:val="20"/>
        </w:rPr>
        <w:t>s</w:t>
      </w:r>
      <w:r>
        <w:rPr>
          <w:rFonts w:ascii="Century Gothic" w:hAnsi="Century Gothic"/>
          <w:sz w:val="20"/>
        </w:rPr>
        <w:t xml:space="preserve">ports, </w:t>
      </w:r>
    </w:p>
    <w:p w14:paraId="4B2D5BC5" w14:textId="77777777" w:rsidR="0014064F" w:rsidRPr="00B72D34" w:rsidRDefault="0014064F" w:rsidP="0014064F">
      <w:pPr>
        <w:pStyle w:val="Akapitzlist"/>
        <w:numPr>
          <w:ilvl w:val="2"/>
          <w:numId w:val="6"/>
        </w:numPr>
        <w:autoSpaceDE w:val="0"/>
        <w:autoSpaceDN w:val="0"/>
        <w:adjustRightInd w:val="0"/>
        <w:spacing w:after="0" w:line="360" w:lineRule="auto"/>
        <w:ind w:left="1701" w:hanging="567"/>
        <w:contextualSpacing w:val="0"/>
        <w:jc w:val="both"/>
        <w:rPr>
          <w:rFonts w:ascii="Century Gothic" w:hAnsi="Century Gothic"/>
          <w:sz w:val="20"/>
          <w:szCs w:val="20"/>
        </w:rPr>
      </w:pPr>
      <w:r>
        <w:rPr>
          <w:rFonts w:ascii="Century Gothic" w:hAnsi="Century Gothic"/>
          <w:sz w:val="20"/>
        </w:rPr>
        <w:t xml:space="preserve"> financing a terrorist offence referred to in Article 165a of the Penal Code or an offence of preventing or hindering the ascertainment of the criminal origin of money or the concealment of its origin referred to in Article 299 of the Penal Code, </w:t>
      </w:r>
    </w:p>
    <w:p w14:paraId="262667D0" w14:textId="680A2556" w:rsidR="0014064F" w:rsidRPr="00B72D34" w:rsidRDefault="0014064F" w:rsidP="0014064F">
      <w:pPr>
        <w:pStyle w:val="Akapitzlist"/>
        <w:numPr>
          <w:ilvl w:val="2"/>
          <w:numId w:val="6"/>
        </w:numPr>
        <w:autoSpaceDE w:val="0"/>
        <w:autoSpaceDN w:val="0"/>
        <w:adjustRightInd w:val="0"/>
        <w:spacing w:after="0" w:line="360" w:lineRule="auto"/>
        <w:ind w:left="1701" w:hanging="567"/>
        <w:contextualSpacing w:val="0"/>
        <w:jc w:val="both"/>
        <w:rPr>
          <w:rFonts w:ascii="Century Gothic" w:hAnsi="Century Gothic"/>
          <w:sz w:val="20"/>
          <w:szCs w:val="20"/>
        </w:rPr>
      </w:pPr>
      <w:r>
        <w:rPr>
          <w:rFonts w:ascii="Century Gothic" w:hAnsi="Century Gothic"/>
          <w:sz w:val="20"/>
        </w:rPr>
        <w:t xml:space="preserve">of a terrorist nature, as referred to in Article 115 § 20 of the Penal Code, or aimed at committing such offence, </w:t>
      </w:r>
    </w:p>
    <w:p w14:paraId="2A6968D6" w14:textId="77777777" w:rsidR="0014064F" w:rsidRPr="00B72D34" w:rsidRDefault="0014064F" w:rsidP="0014064F">
      <w:pPr>
        <w:pStyle w:val="Akapitzlist"/>
        <w:numPr>
          <w:ilvl w:val="2"/>
          <w:numId w:val="6"/>
        </w:numPr>
        <w:autoSpaceDE w:val="0"/>
        <w:autoSpaceDN w:val="0"/>
        <w:adjustRightInd w:val="0"/>
        <w:spacing w:after="0" w:line="360" w:lineRule="auto"/>
        <w:ind w:left="1701" w:hanging="567"/>
        <w:contextualSpacing w:val="0"/>
        <w:jc w:val="both"/>
        <w:rPr>
          <w:rFonts w:ascii="Century Gothic" w:hAnsi="Century Gothic"/>
          <w:sz w:val="20"/>
          <w:szCs w:val="20"/>
        </w:rPr>
      </w:pPr>
      <w:r>
        <w:rPr>
          <w:rFonts w:ascii="Century Gothic" w:hAnsi="Century Gothic"/>
          <w:sz w:val="20"/>
        </w:rPr>
        <w:t xml:space="preserve">entrusting work to a minor foreigner, as referred to in Article 9(2) of the Act of 15 June 2012 on the consequences of assigning work to foreigners unlawfully residing on the territory of the Republic of Poland (Journal of Laws 2012, item 769), </w:t>
      </w:r>
    </w:p>
    <w:p w14:paraId="28E79E27" w14:textId="77777777" w:rsidR="0014064F" w:rsidRPr="00B72D34" w:rsidRDefault="0014064F" w:rsidP="0014064F">
      <w:pPr>
        <w:pStyle w:val="Akapitzlist"/>
        <w:numPr>
          <w:ilvl w:val="2"/>
          <w:numId w:val="6"/>
        </w:numPr>
        <w:autoSpaceDE w:val="0"/>
        <w:autoSpaceDN w:val="0"/>
        <w:adjustRightInd w:val="0"/>
        <w:spacing w:after="0" w:line="360" w:lineRule="auto"/>
        <w:ind w:left="1701" w:hanging="567"/>
        <w:contextualSpacing w:val="0"/>
        <w:jc w:val="both"/>
        <w:rPr>
          <w:rFonts w:ascii="Century Gothic" w:hAnsi="Century Gothic"/>
          <w:sz w:val="20"/>
          <w:szCs w:val="20"/>
        </w:rPr>
      </w:pPr>
      <w:r>
        <w:rPr>
          <w:rFonts w:ascii="Century Gothic" w:hAnsi="Century Gothic"/>
          <w:sz w:val="20"/>
        </w:rPr>
        <w:t xml:space="preserve"> against economic transactions referred to in Articles 296-307 of the Penal Code, a fraud offence referred to in Article 286 of the Penal Code, an </w:t>
      </w:r>
      <w:r>
        <w:rPr>
          <w:rFonts w:ascii="Century Gothic" w:hAnsi="Century Gothic"/>
          <w:sz w:val="20"/>
        </w:rPr>
        <w:lastRenderedPageBreak/>
        <w:t xml:space="preserve">offence against the reliability of documents referred to in Articles 270-277d of the Penal Code, or a fiscal offence, </w:t>
      </w:r>
    </w:p>
    <w:p w14:paraId="58AB11C9" w14:textId="537B2CB9" w:rsidR="0014064F" w:rsidRPr="00B72D34" w:rsidRDefault="0014064F" w:rsidP="0014064F">
      <w:pPr>
        <w:pStyle w:val="Akapitzlist"/>
        <w:autoSpaceDE w:val="0"/>
        <w:autoSpaceDN w:val="0"/>
        <w:adjustRightInd w:val="0"/>
        <w:spacing w:after="0" w:line="360" w:lineRule="auto"/>
        <w:ind w:left="1134"/>
        <w:jc w:val="both"/>
        <w:rPr>
          <w:rFonts w:ascii="Century Gothic" w:hAnsi="Century Gothic"/>
          <w:sz w:val="20"/>
          <w:szCs w:val="20"/>
        </w:rPr>
      </w:pPr>
      <w:r>
        <w:rPr>
          <w:rFonts w:ascii="Century Gothic" w:hAnsi="Century Gothic"/>
          <w:sz w:val="20"/>
        </w:rPr>
        <w:t>- or for a corresponding offence under foreign law</w:t>
      </w:r>
      <w:r w:rsidR="003567D9">
        <w:rPr>
          <w:rFonts w:ascii="Century Gothic" w:hAnsi="Century Gothic"/>
          <w:sz w:val="20"/>
        </w:rPr>
        <w:t>.</w:t>
      </w:r>
    </w:p>
    <w:p w14:paraId="35D64122" w14:textId="6804096B" w:rsidR="0014064F" w:rsidRPr="00B72D34" w:rsidRDefault="00480A34" w:rsidP="0014064F">
      <w:pPr>
        <w:pStyle w:val="Akapitzlist"/>
        <w:numPr>
          <w:ilvl w:val="1"/>
          <w:numId w:val="5"/>
        </w:numPr>
        <w:spacing w:after="0" w:line="360" w:lineRule="auto"/>
        <w:ind w:left="993" w:hanging="567"/>
        <w:contextualSpacing w:val="0"/>
        <w:jc w:val="both"/>
        <w:rPr>
          <w:rFonts w:ascii="Century Gothic" w:hAnsi="Century Gothic"/>
          <w:sz w:val="20"/>
          <w:szCs w:val="20"/>
        </w:rPr>
      </w:pPr>
      <w:r w:rsidRPr="00480A34">
        <w:rPr>
          <w:rFonts w:ascii="Century Gothic" w:hAnsi="Century Gothic"/>
          <w:sz w:val="20"/>
        </w:rPr>
        <w:t>Subcontractor</w:t>
      </w:r>
      <w:r w:rsidR="0014064F">
        <w:rPr>
          <w:rFonts w:ascii="Century Gothic" w:hAnsi="Century Gothic"/>
          <w:sz w:val="20"/>
        </w:rPr>
        <w:t>, if an active member of its management or supervisory body, its partner in a registered partnership or professional partnership or their general partner in a limited partnership or limited joint-stock partnership has been convicted finally and non-revisably of an offence referred to in item 1.3.</w:t>
      </w:r>
    </w:p>
    <w:p w14:paraId="778D8B84" w14:textId="46F0A7FF" w:rsidR="0014064F" w:rsidRPr="00B72D34" w:rsidRDefault="00480A34" w:rsidP="0014064F">
      <w:pPr>
        <w:pStyle w:val="Akapitzlist"/>
        <w:numPr>
          <w:ilvl w:val="1"/>
          <w:numId w:val="5"/>
        </w:numPr>
        <w:spacing w:after="0" w:line="360" w:lineRule="auto"/>
        <w:ind w:left="993" w:hanging="567"/>
        <w:contextualSpacing w:val="0"/>
        <w:jc w:val="both"/>
        <w:rPr>
          <w:rFonts w:ascii="Century Gothic" w:hAnsi="Century Gothic"/>
          <w:sz w:val="20"/>
          <w:szCs w:val="20"/>
        </w:rPr>
      </w:pPr>
      <w:r w:rsidRPr="00480A34">
        <w:rPr>
          <w:rFonts w:ascii="Century Gothic" w:hAnsi="Century Gothic"/>
          <w:sz w:val="20"/>
        </w:rPr>
        <w:t>Subcontractor</w:t>
      </w:r>
      <w:r w:rsidR="0014064F">
        <w:rPr>
          <w:rFonts w:ascii="Century Gothic" w:hAnsi="Century Gothic"/>
          <w:sz w:val="20"/>
        </w:rPr>
        <w:t xml:space="preserve"> who has been finally and non-revisably banned from competing for public contracts</w:t>
      </w:r>
      <w:r w:rsidR="003567D9">
        <w:rPr>
          <w:rFonts w:ascii="Century Gothic" w:hAnsi="Century Gothic"/>
          <w:sz w:val="20"/>
        </w:rPr>
        <w:t>.</w:t>
      </w:r>
      <w:r w:rsidR="0014064F">
        <w:rPr>
          <w:rFonts w:ascii="Century Gothic" w:hAnsi="Century Gothic"/>
          <w:sz w:val="20"/>
        </w:rPr>
        <w:t xml:space="preserve"> </w:t>
      </w:r>
    </w:p>
    <w:p w14:paraId="0C2E42D0" w14:textId="66A1D919" w:rsidR="0014064F" w:rsidRPr="00B72D34" w:rsidRDefault="00480A34" w:rsidP="0014064F">
      <w:pPr>
        <w:pStyle w:val="Akapitzlist"/>
        <w:numPr>
          <w:ilvl w:val="1"/>
          <w:numId w:val="5"/>
        </w:numPr>
        <w:spacing w:after="0" w:line="360" w:lineRule="auto"/>
        <w:ind w:left="993" w:hanging="567"/>
        <w:contextualSpacing w:val="0"/>
        <w:jc w:val="both"/>
        <w:rPr>
          <w:rFonts w:ascii="Century Gothic" w:hAnsi="Century Gothic"/>
          <w:sz w:val="20"/>
          <w:szCs w:val="20"/>
        </w:rPr>
      </w:pPr>
      <w:r w:rsidRPr="00480A34">
        <w:rPr>
          <w:rFonts w:ascii="Century Gothic" w:hAnsi="Century Gothic"/>
          <w:sz w:val="20"/>
        </w:rPr>
        <w:t>Subcontractor</w:t>
      </w:r>
      <w:r w:rsidR="0014064F">
        <w:rPr>
          <w:rFonts w:ascii="Century Gothic" w:hAnsi="Century Gothic"/>
          <w:sz w:val="20"/>
        </w:rPr>
        <w:t xml:space="preserve"> if there has been a distortion of competition resulting from prior involvement of that </w:t>
      </w:r>
      <w:r w:rsidRPr="00480A34">
        <w:rPr>
          <w:rFonts w:ascii="Century Gothic" w:hAnsi="Century Gothic"/>
          <w:sz w:val="20"/>
        </w:rPr>
        <w:t>Subcontractor</w:t>
      </w:r>
      <w:r w:rsidR="0014064F">
        <w:rPr>
          <w:rFonts w:ascii="Century Gothic" w:hAnsi="Century Gothic"/>
          <w:sz w:val="20"/>
        </w:rPr>
        <w:t xml:space="preserve"> or an entity which is a member of the same capital group with the </w:t>
      </w:r>
      <w:r w:rsidRPr="00480A34">
        <w:rPr>
          <w:rFonts w:ascii="Century Gothic" w:hAnsi="Century Gothic"/>
          <w:sz w:val="20"/>
        </w:rPr>
        <w:t>Subcontractor</w:t>
      </w:r>
      <w:r w:rsidR="0014064F">
        <w:rPr>
          <w:rFonts w:ascii="Century Gothic" w:hAnsi="Century Gothic"/>
          <w:sz w:val="20"/>
        </w:rPr>
        <w:t xml:space="preserve"> in the preparation of the Procedure, unless the distortion of competition caused thereby can be eliminated otherwise than by excluding the </w:t>
      </w:r>
      <w:r w:rsidRPr="00480A34">
        <w:rPr>
          <w:rFonts w:ascii="Century Gothic" w:hAnsi="Century Gothic"/>
          <w:sz w:val="20"/>
        </w:rPr>
        <w:t>Subcontractor</w:t>
      </w:r>
      <w:r w:rsidR="0014064F">
        <w:rPr>
          <w:rFonts w:ascii="Century Gothic" w:hAnsi="Century Gothic"/>
          <w:sz w:val="20"/>
        </w:rPr>
        <w:t xml:space="preserve"> from participation in the Procedure. Before excluding a </w:t>
      </w:r>
      <w:r w:rsidRPr="00480A34">
        <w:rPr>
          <w:rFonts w:ascii="Century Gothic" w:hAnsi="Century Gothic"/>
          <w:sz w:val="20"/>
        </w:rPr>
        <w:t>Subcontractor</w:t>
      </w:r>
      <w:r w:rsidR="0014064F">
        <w:rPr>
          <w:rFonts w:ascii="Century Gothic" w:hAnsi="Century Gothic"/>
          <w:sz w:val="20"/>
        </w:rPr>
        <w:t xml:space="preserve">, the Contracting Entity shall provide that </w:t>
      </w:r>
      <w:r w:rsidRPr="00480A34">
        <w:rPr>
          <w:rFonts w:ascii="Century Gothic" w:hAnsi="Century Gothic"/>
          <w:sz w:val="20"/>
        </w:rPr>
        <w:t>Subcontractor</w:t>
      </w:r>
      <w:r w:rsidR="0014064F">
        <w:rPr>
          <w:rFonts w:ascii="Century Gothic" w:hAnsi="Century Gothic"/>
          <w:sz w:val="20"/>
        </w:rPr>
        <w:t xml:space="preserve"> with the opportunity to prove that its involvement in the preparation of the contract award Procedure does not distort competition</w:t>
      </w:r>
      <w:r w:rsidR="003567D9">
        <w:rPr>
          <w:rFonts w:ascii="Century Gothic" w:hAnsi="Century Gothic"/>
          <w:sz w:val="20"/>
        </w:rPr>
        <w:t>.</w:t>
      </w:r>
    </w:p>
    <w:p w14:paraId="65C5E2C7" w14:textId="59129098" w:rsidR="0014064F" w:rsidRPr="00B72D34" w:rsidRDefault="00480A34" w:rsidP="0014064F">
      <w:pPr>
        <w:pStyle w:val="Akapitzlist"/>
        <w:numPr>
          <w:ilvl w:val="1"/>
          <w:numId w:val="5"/>
        </w:numPr>
        <w:spacing w:after="0" w:line="360" w:lineRule="auto"/>
        <w:ind w:left="993" w:hanging="567"/>
        <w:contextualSpacing w:val="0"/>
        <w:jc w:val="both"/>
        <w:rPr>
          <w:rFonts w:ascii="Century Gothic" w:hAnsi="Century Gothic"/>
          <w:sz w:val="20"/>
          <w:szCs w:val="20"/>
        </w:rPr>
      </w:pPr>
      <w:r w:rsidRPr="00480A34">
        <w:rPr>
          <w:rFonts w:ascii="Century Gothic" w:hAnsi="Century Gothic"/>
          <w:sz w:val="20"/>
        </w:rPr>
        <w:t>Subcontractor</w:t>
      </w:r>
      <w:r w:rsidR="0014064F">
        <w:rPr>
          <w:rFonts w:ascii="Century Gothic" w:hAnsi="Century Gothic"/>
          <w:sz w:val="20"/>
        </w:rPr>
        <w:t xml:space="preserve"> who, as a result of deliberate action or gross negligence, misled the Contracting Entity when presenting information on not being subject to exclusion, on satisfying the conditions for participation in the Procedure or the selection criteria, which could have had a significant impact on the decisions made by the Contracting Entity during the Procedure, or who concealed this information or is not able to submit the required documents</w:t>
      </w:r>
      <w:r w:rsidR="003567D9">
        <w:rPr>
          <w:rFonts w:ascii="Century Gothic" w:hAnsi="Century Gothic"/>
          <w:sz w:val="20"/>
        </w:rPr>
        <w:t>.</w:t>
      </w:r>
    </w:p>
    <w:p w14:paraId="6FA01D82" w14:textId="6BE8C692" w:rsidR="0014064F" w:rsidRPr="00B72D34" w:rsidRDefault="00480A34" w:rsidP="0014064F">
      <w:pPr>
        <w:pStyle w:val="Akapitzlist"/>
        <w:numPr>
          <w:ilvl w:val="1"/>
          <w:numId w:val="5"/>
        </w:numPr>
        <w:spacing w:after="0" w:line="360" w:lineRule="auto"/>
        <w:ind w:left="993" w:hanging="567"/>
        <w:contextualSpacing w:val="0"/>
        <w:jc w:val="both"/>
        <w:rPr>
          <w:rFonts w:ascii="Century Gothic" w:hAnsi="Century Gothic"/>
          <w:sz w:val="20"/>
          <w:szCs w:val="20"/>
        </w:rPr>
      </w:pPr>
      <w:r w:rsidRPr="00480A34">
        <w:rPr>
          <w:rFonts w:ascii="Century Gothic" w:hAnsi="Century Gothic"/>
          <w:sz w:val="20"/>
        </w:rPr>
        <w:t>Subcontractor</w:t>
      </w:r>
      <w:r w:rsidR="0014064F">
        <w:rPr>
          <w:rFonts w:ascii="Century Gothic" w:hAnsi="Century Gothic"/>
          <w:sz w:val="20"/>
        </w:rPr>
        <w:t xml:space="preserve"> who illegally influenced or attempted to influence the actions of the Contracting Entity or attempted to acquire or obtained confidential information which could give the </w:t>
      </w:r>
      <w:r w:rsidRPr="00480A34">
        <w:rPr>
          <w:rFonts w:ascii="Century Gothic" w:hAnsi="Century Gothic"/>
          <w:sz w:val="20"/>
        </w:rPr>
        <w:t>Subcontractor</w:t>
      </w:r>
      <w:r w:rsidR="0014064F">
        <w:rPr>
          <w:rFonts w:ascii="Century Gothic" w:hAnsi="Century Gothic"/>
          <w:sz w:val="20"/>
        </w:rPr>
        <w:t xml:space="preserve"> an advantage in the non-public contract award Procedure</w:t>
      </w:r>
      <w:r w:rsidR="003567D9">
        <w:rPr>
          <w:rFonts w:ascii="Century Gothic" w:hAnsi="Century Gothic"/>
          <w:sz w:val="20"/>
        </w:rPr>
        <w:t>.</w:t>
      </w:r>
      <w:r w:rsidR="0014064F">
        <w:rPr>
          <w:rFonts w:ascii="Century Gothic" w:hAnsi="Century Gothic"/>
          <w:sz w:val="20"/>
        </w:rPr>
        <w:t xml:space="preserve"> </w:t>
      </w:r>
    </w:p>
    <w:p w14:paraId="6C99033A" w14:textId="5346C1D1" w:rsidR="0014064F" w:rsidRPr="00B72D34" w:rsidRDefault="00480A34" w:rsidP="0014064F">
      <w:pPr>
        <w:pStyle w:val="Akapitzlist"/>
        <w:numPr>
          <w:ilvl w:val="1"/>
          <w:numId w:val="5"/>
        </w:numPr>
        <w:spacing w:after="0" w:line="360" w:lineRule="auto"/>
        <w:ind w:left="993" w:hanging="567"/>
        <w:contextualSpacing w:val="0"/>
        <w:jc w:val="both"/>
        <w:rPr>
          <w:rFonts w:ascii="Century Gothic" w:hAnsi="Century Gothic"/>
          <w:sz w:val="20"/>
          <w:szCs w:val="20"/>
        </w:rPr>
      </w:pPr>
      <w:r w:rsidRPr="00480A34">
        <w:rPr>
          <w:rFonts w:ascii="Century Gothic" w:hAnsi="Century Gothic"/>
          <w:sz w:val="20"/>
        </w:rPr>
        <w:t>Subcontractor</w:t>
      </w:r>
      <w:r w:rsidR="0014064F">
        <w:rPr>
          <w:rFonts w:ascii="Century Gothic" w:hAnsi="Century Gothic"/>
          <w:sz w:val="20"/>
        </w:rPr>
        <w:t xml:space="preserve">, if the Contracting Entity can establish, based on reliable grounds, that the </w:t>
      </w:r>
      <w:r w:rsidRPr="00480A34">
        <w:rPr>
          <w:rFonts w:ascii="Century Gothic" w:hAnsi="Century Gothic"/>
          <w:sz w:val="20"/>
        </w:rPr>
        <w:t>Subcontractor</w:t>
      </w:r>
      <w:r w:rsidR="0014064F">
        <w:rPr>
          <w:rFonts w:ascii="Century Gothic" w:hAnsi="Century Gothic"/>
          <w:sz w:val="20"/>
        </w:rPr>
        <w:t xml:space="preserve"> entered into an agreement with other </w:t>
      </w:r>
      <w:r w:rsidRPr="00480A34">
        <w:rPr>
          <w:rFonts w:ascii="Century Gothic" w:hAnsi="Century Gothic"/>
          <w:sz w:val="20"/>
        </w:rPr>
        <w:t>Subcontractor</w:t>
      </w:r>
      <w:r w:rsidR="0014064F">
        <w:rPr>
          <w:rFonts w:ascii="Century Gothic" w:hAnsi="Century Gothic"/>
          <w:sz w:val="20"/>
        </w:rPr>
        <w:t xml:space="preserve"> aiming at distorting competition between the </w:t>
      </w:r>
      <w:r w:rsidRPr="00480A34">
        <w:rPr>
          <w:rFonts w:ascii="Century Gothic" w:hAnsi="Century Gothic"/>
          <w:sz w:val="20"/>
        </w:rPr>
        <w:t>Subcontractor</w:t>
      </w:r>
      <w:r w:rsidR="0014064F">
        <w:rPr>
          <w:rFonts w:ascii="Century Gothic" w:hAnsi="Century Gothic"/>
          <w:sz w:val="20"/>
        </w:rPr>
        <w:t xml:space="preserve"> in the </w:t>
      </w:r>
      <w:r w:rsidR="003567D9">
        <w:rPr>
          <w:rFonts w:ascii="Century Gothic" w:hAnsi="Century Gothic"/>
          <w:sz w:val="20"/>
        </w:rPr>
        <w:t>N</w:t>
      </w:r>
      <w:r w:rsidR="0014064F">
        <w:rPr>
          <w:rFonts w:ascii="Century Gothic" w:hAnsi="Century Gothic"/>
          <w:sz w:val="20"/>
        </w:rPr>
        <w:t>on-</w:t>
      </w:r>
      <w:r w:rsidR="003567D9">
        <w:rPr>
          <w:rFonts w:ascii="Century Gothic" w:hAnsi="Century Gothic"/>
          <w:sz w:val="20"/>
        </w:rPr>
        <w:t>P</w:t>
      </w:r>
      <w:r w:rsidR="0014064F">
        <w:rPr>
          <w:rFonts w:ascii="Century Gothic" w:hAnsi="Century Gothic"/>
          <w:sz w:val="20"/>
        </w:rPr>
        <w:t xml:space="preserve">ublic </w:t>
      </w:r>
      <w:r w:rsidR="003567D9">
        <w:rPr>
          <w:rFonts w:ascii="Century Gothic" w:hAnsi="Century Gothic"/>
          <w:sz w:val="20"/>
        </w:rPr>
        <w:t>C</w:t>
      </w:r>
      <w:r w:rsidR="0014064F">
        <w:rPr>
          <w:rFonts w:ascii="Century Gothic" w:hAnsi="Century Gothic"/>
          <w:sz w:val="20"/>
        </w:rPr>
        <w:t xml:space="preserve">ontract </w:t>
      </w:r>
      <w:r w:rsidR="003567D9">
        <w:rPr>
          <w:rFonts w:ascii="Century Gothic" w:hAnsi="Century Gothic"/>
          <w:sz w:val="20"/>
        </w:rPr>
        <w:t>A</w:t>
      </w:r>
      <w:r w:rsidR="0014064F">
        <w:rPr>
          <w:rFonts w:ascii="Century Gothic" w:hAnsi="Century Gothic"/>
          <w:sz w:val="20"/>
        </w:rPr>
        <w:t>ward Procedure</w:t>
      </w:r>
      <w:r w:rsidR="003567D9">
        <w:rPr>
          <w:rFonts w:ascii="Century Gothic" w:hAnsi="Century Gothic"/>
          <w:sz w:val="20"/>
        </w:rPr>
        <w:t>.</w:t>
      </w:r>
    </w:p>
    <w:p w14:paraId="451DC3C7" w14:textId="05A417DF" w:rsidR="0014064F" w:rsidRPr="00B72D34" w:rsidRDefault="00480A34" w:rsidP="0014064F">
      <w:pPr>
        <w:pStyle w:val="Akapitzlist"/>
        <w:numPr>
          <w:ilvl w:val="1"/>
          <w:numId w:val="5"/>
        </w:numPr>
        <w:spacing w:after="0" w:line="360" w:lineRule="auto"/>
        <w:ind w:left="993" w:hanging="567"/>
        <w:contextualSpacing w:val="0"/>
        <w:jc w:val="both"/>
        <w:rPr>
          <w:rFonts w:ascii="Century Gothic" w:hAnsi="Century Gothic"/>
          <w:sz w:val="20"/>
          <w:szCs w:val="20"/>
        </w:rPr>
      </w:pPr>
      <w:r w:rsidRPr="00480A34">
        <w:rPr>
          <w:rFonts w:ascii="Century Gothic" w:hAnsi="Century Gothic"/>
          <w:sz w:val="20"/>
        </w:rPr>
        <w:t>Subcontractor</w:t>
      </w:r>
      <w:r w:rsidR="0014064F">
        <w:rPr>
          <w:rFonts w:ascii="Century Gothic" w:hAnsi="Century Gothic"/>
          <w:sz w:val="20"/>
        </w:rPr>
        <w:t xml:space="preserve"> entered on the List of Unreliable </w:t>
      </w:r>
      <w:r w:rsidRPr="00480A34">
        <w:rPr>
          <w:rFonts w:ascii="Century Gothic" w:hAnsi="Century Gothic"/>
          <w:sz w:val="20"/>
        </w:rPr>
        <w:t>Subcontractor</w:t>
      </w:r>
      <w:r w:rsidR="003567D9">
        <w:rPr>
          <w:rFonts w:ascii="Century Gothic" w:hAnsi="Century Gothic"/>
          <w:sz w:val="20"/>
        </w:rPr>
        <w:t>.</w:t>
      </w:r>
    </w:p>
    <w:p w14:paraId="764E72B0" w14:textId="38DD2DA6" w:rsidR="0014064F" w:rsidRPr="00B72D34" w:rsidRDefault="0014064F" w:rsidP="0014064F">
      <w:pPr>
        <w:pStyle w:val="Akapitzlist"/>
        <w:numPr>
          <w:ilvl w:val="0"/>
          <w:numId w:val="5"/>
        </w:numPr>
        <w:spacing w:after="0" w:line="360" w:lineRule="auto"/>
        <w:contextualSpacing w:val="0"/>
        <w:jc w:val="both"/>
        <w:rPr>
          <w:rFonts w:ascii="Century Gothic" w:hAnsi="Century Gothic"/>
          <w:sz w:val="20"/>
          <w:szCs w:val="20"/>
        </w:rPr>
      </w:pPr>
      <w:r>
        <w:rPr>
          <w:rFonts w:ascii="Century Gothic" w:hAnsi="Century Gothic"/>
          <w:sz w:val="20"/>
        </w:rPr>
        <w:t xml:space="preserve">It is also permissible, provided that such grounds are indicated in the Contract Documentation, to exclude a </w:t>
      </w:r>
      <w:r w:rsidR="00480A34" w:rsidRPr="00480A34">
        <w:rPr>
          <w:rFonts w:ascii="Century Gothic" w:hAnsi="Century Gothic"/>
          <w:sz w:val="20"/>
        </w:rPr>
        <w:t>Subcontractor</w:t>
      </w:r>
      <w:r w:rsidR="00480A34">
        <w:rPr>
          <w:rFonts w:ascii="Century Gothic" w:hAnsi="Century Gothic"/>
          <w:sz w:val="20"/>
        </w:rPr>
        <w:t xml:space="preserve"> </w:t>
      </w:r>
      <w:r>
        <w:rPr>
          <w:rFonts w:ascii="Century Gothic" w:hAnsi="Century Gothic"/>
          <w:sz w:val="20"/>
        </w:rPr>
        <w:t>from the Non-Public Contract Award Procedure in the following cases:</w:t>
      </w:r>
    </w:p>
    <w:p w14:paraId="2D3EEECB" w14:textId="7E0F4DF1" w:rsidR="0014064F" w:rsidRPr="00B72D34" w:rsidRDefault="0014064F" w:rsidP="0014064F">
      <w:pPr>
        <w:pStyle w:val="Akapitzlist"/>
        <w:numPr>
          <w:ilvl w:val="1"/>
          <w:numId w:val="5"/>
        </w:numPr>
        <w:spacing w:after="0" w:line="360" w:lineRule="auto"/>
        <w:ind w:left="993" w:hanging="567"/>
        <w:contextualSpacing w:val="0"/>
        <w:jc w:val="both"/>
        <w:rPr>
          <w:rFonts w:ascii="Century Gothic" w:hAnsi="Century Gothic"/>
          <w:sz w:val="20"/>
          <w:szCs w:val="20"/>
        </w:rPr>
      </w:pPr>
      <w:r>
        <w:rPr>
          <w:rFonts w:ascii="Century Gothic" w:hAnsi="Century Gothic"/>
          <w:sz w:val="20"/>
        </w:rPr>
        <w:t xml:space="preserve">if the </w:t>
      </w:r>
      <w:r w:rsidR="00480A34" w:rsidRPr="00480A34">
        <w:rPr>
          <w:rFonts w:ascii="Century Gothic" w:hAnsi="Century Gothic"/>
          <w:sz w:val="20"/>
        </w:rPr>
        <w:t>Subcontractor</w:t>
      </w:r>
      <w:r>
        <w:rPr>
          <w:rFonts w:ascii="Century Gothic" w:hAnsi="Century Gothic"/>
          <w:sz w:val="20"/>
        </w:rPr>
        <w:t xml:space="preserve"> is in dispute with the Contracting Entity, in particular if the dispute concerns supplies, services or construction work being carried out by the </w:t>
      </w:r>
      <w:r w:rsidR="00480A34" w:rsidRPr="00480A34">
        <w:rPr>
          <w:rFonts w:ascii="Century Gothic" w:hAnsi="Century Gothic"/>
          <w:sz w:val="20"/>
        </w:rPr>
        <w:t>Subcontractor</w:t>
      </w:r>
      <w:r>
        <w:rPr>
          <w:rFonts w:ascii="Century Gothic" w:hAnsi="Century Gothic"/>
          <w:sz w:val="20"/>
        </w:rPr>
        <w:t xml:space="preserve"> for the Contracting Entity,</w:t>
      </w:r>
    </w:p>
    <w:p w14:paraId="625BB0B8" w14:textId="4815AEB0" w:rsidR="0014064F" w:rsidRPr="00B72D34" w:rsidRDefault="0014064F" w:rsidP="0014064F">
      <w:pPr>
        <w:pStyle w:val="Akapitzlist"/>
        <w:numPr>
          <w:ilvl w:val="1"/>
          <w:numId w:val="5"/>
        </w:numPr>
        <w:spacing w:after="0" w:line="360" w:lineRule="auto"/>
        <w:ind w:left="993" w:hanging="567"/>
        <w:contextualSpacing w:val="0"/>
        <w:jc w:val="both"/>
        <w:rPr>
          <w:rFonts w:ascii="Century Gothic" w:hAnsi="Century Gothic"/>
          <w:sz w:val="20"/>
          <w:szCs w:val="20"/>
        </w:rPr>
      </w:pPr>
      <w:r>
        <w:rPr>
          <w:rFonts w:ascii="Century Gothic" w:hAnsi="Century Gothic"/>
          <w:sz w:val="20"/>
        </w:rPr>
        <w:lastRenderedPageBreak/>
        <w:t xml:space="preserve">if the Contracting Entity, on the basis of authenticated information concerning circumstances relating to the </w:t>
      </w:r>
      <w:r w:rsidR="00480A34" w:rsidRPr="00480A34">
        <w:rPr>
          <w:rFonts w:ascii="Century Gothic" w:hAnsi="Century Gothic"/>
          <w:sz w:val="20"/>
        </w:rPr>
        <w:t>Subcontractor</w:t>
      </w:r>
      <w:r>
        <w:rPr>
          <w:rFonts w:ascii="Century Gothic" w:hAnsi="Century Gothic"/>
          <w:sz w:val="20"/>
        </w:rPr>
        <w:t xml:space="preserve"> such as non-performance or inadequate performance of </w:t>
      </w:r>
      <w:r w:rsidR="003567D9">
        <w:rPr>
          <w:rFonts w:ascii="Century Gothic" w:hAnsi="Century Gothic"/>
          <w:sz w:val="20"/>
        </w:rPr>
        <w:t>a</w:t>
      </w:r>
      <w:r>
        <w:rPr>
          <w:rFonts w:ascii="Century Gothic" w:hAnsi="Century Gothic"/>
          <w:sz w:val="20"/>
        </w:rPr>
        <w:t xml:space="preserve"> contract to a significant extent or on a long-term basis or in relation to a significant element of </w:t>
      </w:r>
      <w:r w:rsidR="003567D9">
        <w:rPr>
          <w:rFonts w:ascii="Century Gothic" w:hAnsi="Century Gothic"/>
          <w:sz w:val="20"/>
        </w:rPr>
        <w:t>a</w:t>
      </w:r>
      <w:r>
        <w:rPr>
          <w:rFonts w:ascii="Century Gothic" w:hAnsi="Century Gothic"/>
          <w:sz w:val="20"/>
        </w:rPr>
        <w:t xml:space="preserve"> contract concluded with another contracting entity, or any other type of serious breach of professional obligations occurring within the three years prior to the deadline for submission of tenders, has acquired significant doubts as to the reliability or integrity of the </w:t>
      </w:r>
      <w:r w:rsidR="00480A34" w:rsidRPr="00480A34">
        <w:rPr>
          <w:rFonts w:ascii="Century Gothic" w:hAnsi="Century Gothic"/>
          <w:sz w:val="20"/>
        </w:rPr>
        <w:t>Subcontractor</w:t>
      </w:r>
      <w:r>
        <w:rPr>
          <w:rFonts w:ascii="Century Gothic" w:hAnsi="Century Gothic"/>
          <w:sz w:val="20"/>
        </w:rPr>
        <w:t xml:space="preserve"> creating a serious risk of harm to the interests of the Company in the event of the award of the </w:t>
      </w:r>
      <w:r w:rsidR="003567D9">
        <w:rPr>
          <w:rFonts w:ascii="Century Gothic" w:hAnsi="Century Gothic"/>
          <w:sz w:val="20"/>
        </w:rPr>
        <w:t>C</w:t>
      </w:r>
      <w:r>
        <w:rPr>
          <w:rFonts w:ascii="Century Gothic" w:hAnsi="Century Gothic"/>
          <w:sz w:val="20"/>
        </w:rPr>
        <w:t xml:space="preserve">ontract to that </w:t>
      </w:r>
      <w:r w:rsidR="00480A34" w:rsidRPr="00480A34">
        <w:rPr>
          <w:rFonts w:ascii="Century Gothic" w:hAnsi="Century Gothic"/>
          <w:sz w:val="20"/>
        </w:rPr>
        <w:t>Subcontractor</w:t>
      </w:r>
      <w:r>
        <w:rPr>
          <w:rFonts w:ascii="Century Gothic" w:hAnsi="Century Gothic"/>
          <w:sz w:val="20"/>
        </w:rPr>
        <w:t>,</w:t>
      </w:r>
    </w:p>
    <w:p w14:paraId="72976DEA" w14:textId="7F5858B6" w:rsidR="0014064F" w:rsidRPr="00B72D34" w:rsidRDefault="0014064F" w:rsidP="0014064F">
      <w:pPr>
        <w:pStyle w:val="Akapitzlist"/>
        <w:numPr>
          <w:ilvl w:val="1"/>
          <w:numId w:val="5"/>
        </w:numPr>
        <w:spacing w:after="0" w:line="360" w:lineRule="auto"/>
        <w:ind w:left="992" w:hanging="567"/>
        <w:contextualSpacing w:val="0"/>
        <w:jc w:val="both"/>
        <w:rPr>
          <w:rFonts w:ascii="Century Gothic" w:hAnsi="Century Gothic"/>
          <w:sz w:val="20"/>
          <w:szCs w:val="20"/>
        </w:rPr>
      </w:pPr>
      <w:r>
        <w:rPr>
          <w:rFonts w:ascii="Century Gothic" w:hAnsi="Century Gothic"/>
          <w:sz w:val="20"/>
        </w:rPr>
        <w:t xml:space="preserve">If the </w:t>
      </w:r>
      <w:r w:rsidR="00480A34" w:rsidRPr="00480A34">
        <w:rPr>
          <w:rFonts w:ascii="Century Gothic" w:hAnsi="Century Gothic"/>
          <w:sz w:val="20"/>
        </w:rPr>
        <w:t>Subcontractor</w:t>
      </w:r>
      <w:r>
        <w:rPr>
          <w:rFonts w:ascii="Century Gothic" w:hAnsi="Century Gothic"/>
          <w:sz w:val="20"/>
        </w:rPr>
        <w:t xml:space="preserve"> has not submitted to the audit </w:t>
      </w:r>
      <w:r w:rsidR="003567D9">
        <w:rPr>
          <w:rFonts w:ascii="Century Gothic" w:hAnsi="Century Gothic"/>
          <w:sz w:val="20"/>
        </w:rPr>
        <w:t>[</w:t>
      </w:r>
      <w:r>
        <w:rPr>
          <w:rFonts w:ascii="Century Gothic" w:hAnsi="Century Gothic"/>
          <w:sz w:val="20"/>
        </w:rPr>
        <w:t xml:space="preserve">i.e. the Contracting Entity, prior to selecting the most advantageous tender, may request the Contractor whose tender was initially evaluated as the most advantageous, to allow the Contracting Entity to carry out a technical, financial or organisational audit, constituting an in-depth verification of the conditions of participation stipulated in the Procedure, aimed at examining and confirming whether the given Contractor, entities on whose resources the </w:t>
      </w:r>
      <w:r w:rsidR="00480A34" w:rsidRPr="00480A34">
        <w:rPr>
          <w:rFonts w:ascii="Century Gothic" w:hAnsi="Century Gothic"/>
          <w:sz w:val="20"/>
        </w:rPr>
        <w:t>Subcontractor</w:t>
      </w:r>
      <w:r>
        <w:rPr>
          <w:rFonts w:ascii="Century Gothic" w:hAnsi="Century Gothic"/>
          <w:sz w:val="20"/>
        </w:rPr>
        <w:t xml:space="preserve"> relies or its subcontractors have the necessary resources at their disposal to enable them to properly perform the Subject of the Contract. A negative result of the aforementioned audit or refusal to submit to the audit constitutes grounds for excluding the Contractor from the Procedure</w:t>
      </w:r>
      <w:r w:rsidR="00896F43">
        <w:rPr>
          <w:rFonts w:ascii="Century Gothic" w:hAnsi="Century Gothic"/>
          <w:sz w:val="20"/>
        </w:rPr>
        <w:t>] or the result of the audit was negative</w:t>
      </w:r>
      <w:r>
        <w:rPr>
          <w:rFonts w:ascii="Century Gothic" w:hAnsi="Century Gothic"/>
          <w:sz w:val="20"/>
        </w:rPr>
        <w:t>.</w:t>
      </w:r>
    </w:p>
    <w:p w14:paraId="005C3FED" w14:textId="2088BB84" w:rsidR="0014064F" w:rsidRPr="00B84B36" w:rsidRDefault="0014064F" w:rsidP="00B84B36">
      <w:pPr>
        <w:pStyle w:val="Akapitzlist"/>
        <w:numPr>
          <w:ilvl w:val="0"/>
          <w:numId w:val="5"/>
        </w:numPr>
        <w:spacing w:after="0" w:line="360" w:lineRule="auto"/>
        <w:contextualSpacing w:val="0"/>
        <w:jc w:val="both"/>
        <w:rPr>
          <w:rFonts w:ascii="Century Gothic" w:hAnsi="Century Gothic"/>
          <w:sz w:val="20"/>
          <w:szCs w:val="20"/>
        </w:rPr>
      </w:pPr>
      <w:r>
        <w:rPr>
          <w:rFonts w:ascii="Century Gothic" w:hAnsi="Century Gothic"/>
          <w:sz w:val="20"/>
        </w:rPr>
        <w:t xml:space="preserve">If the circumstances constituting grounds for excluding the </w:t>
      </w:r>
      <w:r w:rsidR="00480A34" w:rsidRPr="00480A34">
        <w:rPr>
          <w:rFonts w:ascii="Century Gothic" w:hAnsi="Century Gothic"/>
          <w:sz w:val="20"/>
        </w:rPr>
        <w:t>Subcontractor</w:t>
      </w:r>
      <w:r>
        <w:rPr>
          <w:rFonts w:ascii="Century Gothic" w:hAnsi="Century Gothic"/>
          <w:sz w:val="20"/>
        </w:rPr>
        <w:t xml:space="preserve"> from the Procedure are found, it is possible not to exclude the </w:t>
      </w:r>
      <w:r w:rsidR="00480A34" w:rsidRPr="00480A34">
        <w:rPr>
          <w:rFonts w:ascii="Century Gothic" w:hAnsi="Century Gothic"/>
          <w:sz w:val="20"/>
        </w:rPr>
        <w:t>Subcontractor</w:t>
      </w:r>
      <w:r>
        <w:rPr>
          <w:rFonts w:ascii="Century Gothic" w:hAnsi="Century Gothic"/>
          <w:sz w:val="20"/>
        </w:rPr>
        <w:t xml:space="preserve"> if the exclusion would be clearly disproportionate to the gravity of the identified tort, in particular if, despite the above-mentioned circumstances, referred to in Section 1 item 1.2) and Section 2 items 2.2) and 2.3), the </w:t>
      </w:r>
      <w:r w:rsidR="00480A34" w:rsidRPr="00480A34">
        <w:rPr>
          <w:rFonts w:ascii="Century Gothic" w:hAnsi="Century Gothic"/>
          <w:sz w:val="20"/>
        </w:rPr>
        <w:t>Subcontractor</w:t>
      </w:r>
      <w:r>
        <w:rPr>
          <w:rFonts w:ascii="Century Gothic" w:hAnsi="Century Gothic"/>
          <w:sz w:val="20"/>
        </w:rPr>
        <w:t>'s reliability does not raise any doubts or pose a risk of harming the Contracting Entity's interest during the performance of the Contract.</w:t>
      </w:r>
    </w:p>
    <w:p w14:paraId="246CD0C0" w14:textId="77777777" w:rsidR="0014064F" w:rsidRPr="0014064F" w:rsidRDefault="0014064F" w:rsidP="00B84B36">
      <w:pPr>
        <w:rPr>
          <w:rFonts w:ascii="Century Gothic" w:hAnsi="Century Gothic"/>
          <w:color w:val="70AD47" w:themeColor="accent6"/>
          <w:sz w:val="20"/>
          <w:szCs w:val="20"/>
        </w:rPr>
      </w:pPr>
    </w:p>
    <w:sectPr w:rsidR="0014064F" w:rsidRPr="0014064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D3D54" w14:textId="77777777" w:rsidR="00C875BA" w:rsidRDefault="00C875BA" w:rsidP="00B84B36">
      <w:pPr>
        <w:spacing w:after="0" w:line="240" w:lineRule="auto"/>
      </w:pPr>
      <w:r>
        <w:separator/>
      </w:r>
    </w:p>
  </w:endnote>
  <w:endnote w:type="continuationSeparator" w:id="0">
    <w:p w14:paraId="1179B6DA" w14:textId="77777777" w:rsidR="00C875BA" w:rsidRDefault="00C875BA" w:rsidP="00B84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142CE" w14:textId="77777777" w:rsidR="00C875BA" w:rsidRDefault="00C875BA" w:rsidP="00B84B36">
      <w:pPr>
        <w:spacing w:after="0" w:line="240" w:lineRule="auto"/>
      </w:pPr>
      <w:r>
        <w:separator/>
      </w:r>
    </w:p>
  </w:footnote>
  <w:footnote w:type="continuationSeparator" w:id="0">
    <w:p w14:paraId="63BBAAD8" w14:textId="77777777" w:rsidR="00C875BA" w:rsidRDefault="00C875BA" w:rsidP="00B84B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C5521"/>
    <w:multiLevelType w:val="multilevel"/>
    <w:tmpl w:val="6FAA59C6"/>
    <w:lvl w:ilvl="0">
      <w:start w:val="1"/>
      <w:numFmt w:val="decimal"/>
      <w:lvlText w:val="%1."/>
      <w:lvlJc w:val="left"/>
      <w:pPr>
        <w:ind w:left="360" w:hanging="360"/>
      </w:pPr>
      <w:rPr>
        <w:rFonts w:hint="default"/>
      </w:rPr>
    </w:lvl>
    <w:lvl w:ilvl="1">
      <w:start w:val="1"/>
      <w:numFmt w:val="decimal"/>
      <w:lvlText w:val="%1.%2."/>
      <w:lvlJc w:val="left"/>
      <w:pPr>
        <w:ind w:left="2137"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48720DE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A164587"/>
    <w:multiLevelType w:val="hybridMultilevel"/>
    <w:tmpl w:val="4FE218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5B837527"/>
    <w:multiLevelType w:val="hybridMultilevel"/>
    <w:tmpl w:val="3A705CC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70BF2D0A"/>
    <w:multiLevelType w:val="hybridMultilevel"/>
    <w:tmpl w:val="D2A247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2127579973">
    <w:abstractNumId w:val="2"/>
  </w:num>
  <w:num w:numId="2" w16cid:durableId="3250881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82498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5414112">
    <w:abstractNumId w:val="4"/>
  </w:num>
  <w:num w:numId="5" w16cid:durableId="965047368">
    <w:abstractNumId w:val="0"/>
  </w:num>
  <w:num w:numId="6" w16cid:durableId="15251673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64F"/>
    <w:rsid w:val="0014064F"/>
    <w:rsid w:val="002F28BA"/>
    <w:rsid w:val="003567D9"/>
    <w:rsid w:val="00480A34"/>
    <w:rsid w:val="005961F7"/>
    <w:rsid w:val="00896F43"/>
    <w:rsid w:val="00A66295"/>
    <w:rsid w:val="00B84B36"/>
    <w:rsid w:val="00C875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8E3635"/>
  <w15:chartTrackingRefBased/>
  <w15:docId w15:val="{6568B9A8-2F2C-4B56-88B7-8676624F2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064F"/>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agłowek 3,Preambuła,lp1,Bullet list,Styl 1,EST_akapit z listą,Liste CGS,Numerowanie,BulletC,Wyliczanie,Obiekt,normalny tekst,Akapit z listą31,Bullets,List Paragraph1,Wypunktowanie,List Paragraph,maz_wyliczenie,opis dzialania,Punkt. 1"/>
    <w:basedOn w:val="Normalny"/>
    <w:link w:val="AkapitzlistZnak"/>
    <w:uiPriority w:val="34"/>
    <w:qFormat/>
    <w:rsid w:val="0014064F"/>
    <w:pPr>
      <w:ind w:left="720"/>
      <w:contextualSpacing/>
    </w:pPr>
  </w:style>
  <w:style w:type="character" w:styleId="Odwoaniedokomentarza">
    <w:name w:val="annotation reference"/>
    <w:basedOn w:val="Domylnaczcionkaakapitu"/>
    <w:uiPriority w:val="99"/>
    <w:unhideWhenUsed/>
    <w:rsid w:val="0014064F"/>
    <w:rPr>
      <w:sz w:val="16"/>
      <w:szCs w:val="16"/>
    </w:rPr>
  </w:style>
  <w:style w:type="paragraph" w:styleId="Tekstkomentarza">
    <w:name w:val="annotation text"/>
    <w:basedOn w:val="Normalny"/>
    <w:link w:val="TekstkomentarzaZnak"/>
    <w:uiPriority w:val="99"/>
    <w:unhideWhenUsed/>
    <w:rsid w:val="0014064F"/>
    <w:pPr>
      <w:spacing w:line="240" w:lineRule="auto"/>
    </w:pPr>
    <w:rPr>
      <w:sz w:val="20"/>
      <w:szCs w:val="20"/>
    </w:rPr>
  </w:style>
  <w:style w:type="character" w:customStyle="1" w:styleId="TekstkomentarzaZnak">
    <w:name w:val="Tekst komentarza Znak"/>
    <w:basedOn w:val="Domylnaczcionkaakapitu"/>
    <w:link w:val="Tekstkomentarza"/>
    <w:uiPriority w:val="99"/>
    <w:rsid w:val="0014064F"/>
    <w:rPr>
      <w:sz w:val="20"/>
      <w:szCs w:val="20"/>
    </w:rPr>
  </w:style>
  <w:style w:type="character" w:customStyle="1" w:styleId="AkapitzlistZnak">
    <w:name w:val="Akapit z listą Znak"/>
    <w:aliases w:val="Nagłowek 3 Znak,Preambuła Znak,lp1 Znak,Bullet list Znak,Styl 1 Znak,EST_akapit z listą Znak,Liste CGS Znak,Numerowanie Znak,BulletC Znak,Wyliczanie Znak,Obiekt Znak,normalny tekst Znak,Akapit z listą31 Znak,Bullets Znak"/>
    <w:basedOn w:val="Domylnaczcionkaakapitu"/>
    <w:link w:val="Akapitzlist"/>
    <w:uiPriority w:val="34"/>
    <w:qFormat/>
    <w:locked/>
    <w:rsid w:val="0014064F"/>
  </w:style>
  <w:style w:type="table" w:styleId="Tabela-Siatka">
    <w:name w:val="Table Grid"/>
    <w:basedOn w:val="Standardowy"/>
    <w:uiPriority w:val="59"/>
    <w:rsid w:val="0014064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1003</Words>
  <Characters>6019</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Zwolińska Monika</dc:creator>
  <cp:keywords/>
  <dc:description/>
  <cp:lastModifiedBy>Gorta-Busz Mateusz</cp:lastModifiedBy>
  <cp:revision>4</cp:revision>
  <dcterms:created xsi:type="dcterms:W3CDTF">2023-07-05T10:38:00Z</dcterms:created>
  <dcterms:modified xsi:type="dcterms:W3CDTF">2023-07-07T08:34:00Z</dcterms:modified>
</cp:coreProperties>
</file>